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</w:rPr>
      </w:pPr>
      <w:r>
        <w:rPr>
          <w:b/>
          <w:bCs/>
        </w:rPr>
        <w:t xml:space="preserve">Intercompréhension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Séance 1 </w:t>
      </w:r>
      <w:r/>
    </w:p>
    <w:p>
      <w:pPr>
        <w:jc w:val="center"/>
        <w:rPr>
          <w:b/>
          <w:bCs/>
        </w:rPr>
      </w:pPr>
      <w:r>
        <w:rPr>
          <w:rFonts w:cstheme="minorHAnsi"/>
          <w:b/>
          <w:bCs/>
          <w:szCs w:val="20"/>
        </w:rPr>
        <w:t xml:space="preserve">Etape 7 : On comprend le texte espagnol avec les aides</w:t>
      </w:r>
      <w:r/>
    </w:p>
    <w:p>
      <w:pPr>
        <w:rPr>
          <w:rFonts w:cstheme="minorHAnsi"/>
          <w:b/>
          <w:bCs/>
          <w:color w:val="ff0000"/>
          <w:sz w:val="22"/>
          <w:szCs w:val="20"/>
        </w:rPr>
      </w:pPr>
      <w:r>
        <w:rPr>
          <w:rFonts w:cstheme="minorHAnsi"/>
          <w:b/>
          <w:bCs/>
          <w:color w:val="ff0000"/>
          <w:sz w:val="22"/>
          <w:szCs w:val="20"/>
        </w:rPr>
      </w:r>
      <w:r/>
    </w:p>
    <w:p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Consignes</w:t>
      </w:r>
      <w:r/>
    </w:p>
    <w:p>
      <w:pPr>
        <w:rPr>
          <w:rFonts w:cstheme="minorHAnsi"/>
        </w:rPr>
      </w:pPr>
      <w:r>
        <w:rPr>
          <w:rFonts w:cstheme="minorHAnsi"/>
        </w:rPr>
      </w:r>
      <w:r/>
    </w:p>
    <w:p>
      <w:pPr>
        <w:rPr>
          <w:rFonts w:cstheme="minorHAnsi"/>
        </w:rPr>
      </w:pPr>
      <w:r>
        <w:rPr>
          <w:rFonts w:cstheme="minorHAnsi"/>
        </w:rPr>
        <w:t xml:space="preserve">Proposez une traduction approximative de chacun des paragraphes en utilisant les stratégies d’intercompréhension (</w:t>
      </w:r>
      <w:r>
        <w:rPr>
          <w:rFonts w:cstheme="minorHAnsi"/>
        </w:rPr>
        <w:t xml:space="preserve">cf. Doc 2)</w:t>
      </w:r>
      <w:r>
        <w:rPr>
          <w:rFonts w:cstheme="minorHAnsi"/>
          <w:i/>
          <w:iCs/>
          <w:color w:val="ff0000"/>
        </w:rPr>
        <w:t xml:space="preserve">.</w:t>
      </w:r>
      <w:r/>
    </w:p>
    <w:p>
      <w:pPr>
        <w:rPr>
          <w:rFonts w:cstheme="minorHAnsi"/>
        </w:rPr>
      </w:pPr>
      <w:r>
        <w:rPr>
          <w:rFonts w:cstheme="minorHAnsi"/>
        </w:rPr>
        <w:t xml:space="preserve">En cas de difficultés sur certains mots ou segments jugés potentiellement opaques (soulignés dans le texte), vous pouvez utiliser l’aide correspondante.</w:t>
      </w:r>
      <w:r/>
    </w:p>
    <w:p>
      <w:pPr>
        <w:rPr>
          <w:rFonts w:cstheme="minorHAnsi"/>
        </w:rPr>
      </w:pPr>
      <w:r>
        <w:rPr>
          <w:rFonts w:cstheme="minorHAnsi"/>
        </w:rPr>
        <w:t xml:space="preserve">Si, malgré les aides, vous êtes toujours en difficulté, vous pouvez lire les notes de bas de page.</w:t>
      </w:r>
      <w:r/>
    </w:p>
    <w:p>
      <w:pPr>
        <w:rPr>
          <w:rFonts w:cstheme="minorHAnsi"/>
          <w:i/>
          <w:iCs/>
        </w:rPr>
      </w:pPr>
      <w:r>
        <w:rPr>
          <w:rFonts w:cstheme="minorHAnsi"/>
          <w:i/>
          <w:iCs/>
        </w:rPr>
      </w:r>
      <w:r/>
    </w:p>
    <w:p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Le texte et les aides</w:t>
      </w:r>
      <w:r/>
    </w:p>
    <w:p>
      <w:r/>
      <w:r/>
    </w:p>
    <w:p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L.1-3</w:t>
      </w:r>
      <w:r/>
    </w:p>
    <w:p>
      <w:pPr>
        <w:rPr>
          <w:sz w:val="10"/>
          <w:szCs w:val="10"/>
        </w:rPr>
      </w:pPr>
      <w:r>
        <w:rPr>
          <w:sz w:val="10"/>
          <w:szCs w:val="10"/>
        </w:rPr>
      </w:r>
      <w:r/>
    </w:p>
    <w:p>
      <w:pPr>
        <w:ind w:left="851"/>
        <w:jc w:val="both"/>
        <w:rPr>
          <w:lang w:val="es-ES"/>
        </w:rPr>
      </w:pPr>
      <w:r>
        <w:rPr>
          <w:i/>
          <w:iCs/>
          <w:lang w:val="es-ES"/>
        </w:rPr>
        <w:t xml:space="preserve">Resumen: El </w:t>
      </w:r>
      <w:r>
        <w:rPr>
          <w:i/>
          <w:iCs/>
          <w:u w:val="single"/>
          <w:lang w:val="es-ES"/>
        </w:rPr>
        <w:t xml:space="preserve">cómic</w:t>
      </w:r>
      <w:r>
        <w:rPr>
          <w:i/>
          <w:iCs/>
          <w:lang w:val="es-ES"/>
        </w:rPr>
        <w:t xml:space="preserve"> </w:t>
      </w:r>
      <w:r>
        <w:rPr>
          <w:i/>
          <w:iCs/>
          <w:u w:val="single"/>
          <w:lang w:val="es-ES"/>
        </w:rPr>
        <w:t xml:space="preserve">plantea</w:t>
      </w:r>
      <w:r>
        <w:rPr>
          <w:i/>
          <w:iCs/>
          <w:lang w:val="es-ES"/>
        </w:rPr>
        <w:t xml:space="preserve"> una serie de </w:t>
      </w:r>
      <w:r>
        <w:rPr>
          <w:i/>
          <w:iCs/>
          <w:u w:val="single"/>
          <w:lang w:val="es-ES"/>
        </w:rPr>
        <w:t xml:space="preserve">retos</w:t>
      </w:r>
      <w:r>
        <w:rPr>
          <w:i/>
          <w:iCs/>
          <w:lang w:val="es-ES"/>
        </w:rPr>
        <w:t xml:space="preserve"> al traductor </w:t>
      </w:r>
      <w:r>
        <w:rPr>
          <w:i/>
          <w:iCs/>
          <w:u w:val="single"/>
          <w:lang w:val="es-ES"/>
        </w:rPr>
        <w:t xml:space="preserve">debido</w:t>
      </w:r>
      <w:r>
        <w:rPr>
          <w:i/>
          <w:iCs/>
          <w:lang w:val="es-ES"/>
        </w:rPr>
        <w:t xml:space="preserve"> a los distintos códigos que lo articulan. El traductor </w:t>
      </w:r>
      <w:r>
        <w:rPr>
          <w:i/>
          <w:iCs/>
          <w:u w:val="single"/>
          <w:lang w:val="es-ES"/>
        </w:rPr>
        <w:t xml:space="preserve">deberá</w:t>
      </w:r>
      <w:r>
        <w:rPr>
          <w:i/>
          <w:iCs/>
          <w:lang w:val="es-ES"/>
        </w:rPr>
        <w:t xml:space="preserve"> identificar y respectar </w:t>
      </w:r>
      <w:r>
        <w:rPr>
          <w:i/>
          <w:iCs/>
          <w:u w:val="single"/>
          <w:lang w:val="es-ES"/>
        </w:rPr>
        <w:t xml:space="preserve">el s</w:t>
      </w:r>
      <w:r>
        <w:rPr>
          <w:i/>
          <w:iCs/>
          <w:u w:val="single"/>
          <w:lang w:val="es-ES"/>
        </w:rPr>
        <w:t xml:space="preserve">entido</w:t>
      </w:r>
      <w:r>
        <w:rPr>
          <w:i/>
          <w:iCs/>
          <w:lang w:val="es-ES"/>
        </w:rPr>
        <w:t xml:space="preserve"> tanto en los niveles semántico, pragmático, icónico, fónico y tipográfico del texto original</w:t>
      </w:r>
      <w:r>
        <w:rPr>
          <w:lang w:val="es-ES"/>
        </w:rPr>
        <w:t xml:space="preserve">. </w:t>
      </w:r>
      <w:r/>
    </w:p>
    <w:p>
      <w:pPr>
        <w:rPr>
          <w:sz w:val="10"/>
          <w:szCs w:val="10"/>
          <w:lang w:val="es-ES"/>
        </w:rPr>
      </w:pPr>
      <w:r>
        <w:rPr>
          <w:sz w:val="10"/>
          <w:szCs w:val="10"/>
          <w:lang w:val="es-ES"/>
        </w:rPr>
      </w:r>
      <w:r/>
    </w:p>
    <w:p>
      <w:pPr>
        <w:ind w:left="142" w:hanging="142"/>
        <w:jc w:val="both"/>
        <w:rPr>
          <w:rFonts w:cstheme="minorHAnsi"/>
          <w:i/>
          <w:iCs/>
          <w:color w:val="3a4445"/>
          <w:lang w:val="es-ES"/>
        </w:rPr>
      </w:pPr>
      <w:r>
        <w:rPr>
          <w:rFonts w:cstheme="minorHAnsi"/>
          <w:i/>
          <w:iCs/>
          <w:color w:val="3a4445"/>
          <w:lang w:val="es-ES"/>
        </w:rPr>
      </w:r>
      <w:r/>
    </w:p>
    <w:p>
      <w:pPr>
        <w:ind w:left="142" w:hanging="142"/>
        <w:jc w:val="both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Ligne 1 : </w:t>
      </w:r>
      <w:r>
        <w:rPr>
          <w:bCs/>
        </w:rPr>
        <w:t xml:space="preserve">[</w:t>
      </w:r>
      <w:r>
        <w:rPr>
          <w:i/>
          <w:iCs/>
        </w:rPr>
        <w:t xml:space="preserve">cómic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 :</w:t>
      </w:r>
      <w:r>
        <w:rPr>
          <w:rFonts w:cstheme="minorHAnsi"/>
          <w:color w:val="3a4445"/>
        </w:rPr>
        <w:t xml:space="preserve"> </w:t>
      </w:r>
      <w:r>
        <w:rPr>
          <w:rFonts w:cstheme="minorHAnsi"/>
          <w:color w:val="3a4445"/>
        </w:rPr>
        <w:t xml:space="preserve">pensez à l'équivalent anglais</w:t>
      </w:r>
      <w:r>
        <w:rPr>
          <w:rFonts w:cstheme="minorHAnsi"/>
          <w:color w:val="3a4445"/>
        </w:rPr>
        <w:t xml:space="preserve"> "comics</w:t>
      </w:r>
      <w:r>
        <w:rPr>
          <w:bCs/>
        </w:rPr>
        <w:t xml:space="preserve">”.</w:t>
      </w:r>
      <w:r>
        <w:rPr>
          <w:rStyle w:val="864"/>
          <w:bCs/>
          <w:lang w:val="it-IT"/>
        </w:rPr>
        <w:footnoteReference w:id="2"/>
      </w:r>
      <w:r/>
    </w:p>
    <w:p>
      <w:pPr>
        <w:ind w:left="142" w:hanging="142"/>
        <w:jc w:val="both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Ligne 1 : </w:t>
      </w:r>
      <w:r>
        <w:rPr>
          <w:bCs/>
        </w:rPr>
        <w:t xml:space="preserve">[</w:t>
      </w:r>
      <w:r>
        <w:rPr>
          <w:rFonts w:cstheme="minorHAnsi"/>
          <w:i/>
          <w:iCs/>
          <w:color w:val="3a4445"/>
        </w:rPr>
        <w:t xml:space="preserve">plantea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 :</w:t>
      </w:r>
      <w:r>
        <w:rPr>
          <w:rFonts w:cstheme="minorHAnsi"/>
          <w:color w:val="3a4445"/>
        </w:rPr>
        <w:t xml:space="preserve"> </w:t>
      </w:r>
      <w:r>
        <w:rPr>
          <w:rFonts w:cstheme="minorHAnsi"/>
          <w:color w:val="3a4445"/>
        </w:rPr>
        <w:t xml:space="preserve">3</w:t>
      </w:r>
      <w:r>
        <w:rPr>
          <w:rFonts w:cstheme="minorHAnsi"/>
          <w:color w:val="3a4445"/>
          <w:vertAlign w:val="superscript"/>
        </w:rPr>
        <w:t xml:space="preserve">ème</w:t>
      </w:r>
      <w:r>
        <w:rPr>
          <w:rFonts w:cstheme="minorHAnsi"/>
          <w:color w:val="3a4445"/>
        </w:rPr>
        <w:t xml:space="preserve"> personne du singulier du présent de l’infinitif </w:t>
      </w:r>
      <w:r>
        <w:rPr>
          <w:bCs/>
        </w:rPr>
        <w:t xml:space="preserve">“</w:t>
      </w:r>
      <w:r>
        <w:rPr>
          <w:rFonts w:cstheme="minorHAnsi"/>
          <w:color w:val="3a4445"/>
        </w:rPr>
        <w:t xml:space="preserve">plantear” </w:t>
      </w:r>
      <w:r>
        <w:rPr>
          <w:rFonts w:cstheme="minorHAnsi"/>
          <w:color w:val="3a4445"/>
        </w:rPr>
        <w:t xml:space="preserve">dont la signification s’approche de celle de </w:t>
      </w:r>
      <w:r>
        <w:rPr>
          <w:bCs/>
        </w:rPr>
        <w:t xml:space="preserve">“</w:t>
      </w:r>
      <w:r>
        <w:rPr>
          <w:rFonts w:cstheme="minorHAnsi"/>
          <w:color w:val="3a4445"/>
        </w:rPr>
        <w:t xml:space="preserve">poner”</w:t>
      </w:r>
      <w:r>
        <w:rPr>
          <w:rFonts w:cstheme="minorHAnsi"/>
          <w:color w:val="3a4445"/>
        </w:rPr>
        <w:t xml:space="preserve">.</w:t>
      </w:r>
      <w:r>
        <w:rPr>
          <w:rStyle w:val="864"/>
          <w:rFonts w:cstheme="minorHAnsi"/>
          <w:color w:val="3a4445"/>
        </w:rPr>
        <w:footnoteReference w:id="3"/>
      </w:r>
      <w:r/>
    </w:p>
    <w:p>
      <w:r>
        <w:rPr>
          <w:rFonts w:cstheme="minorHAnsi"/>
          <w:color w:val="3a4445"/>
        </w:rPr>
        <w:t xml:space="preserve">Ligne 1 : </w:t>
      </w:r>
      <w:r>
        <w:rPr>
          <w:bCs/>
        </w:rPr>
        <w:t xml:space="preserve">[</w:t>
      </w:r>
      <w:r>
        <w:rPr>
          <w:rFonts w:cstheme="minorHAnsi"/>
          <w:i/>
          <w:iCs/>
          <w:color w:val="3a4445"/>
        </w:rPr>
        <w:t xml:space="preserve">retos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 :</w:t>
      </w:r>
      <w:r>
        <w:rPr>
          <w:rFonts w:cstheme="minorHAnsi"/>
          <w:color w:val="3a4445"/>
        </w:rPr>
        <w:t xml:space="preserve"> pluriel de </w:t>
      </w:r>
      <w:r>
        <w:rPr>
          <w:bCs/>
        </w:rPr>
        <w:t xml:space="preserve">“</w:t>
      </w:r>
      <w:r>
        <w:rPr>
          <w:rFonts w:cstheme="minorHAnsi"/>
          <w:color w:val="3a4445"/>
        </w:rPr>
        <w:t xml:space="preserve">reto”</w:t>
      </w:r>
      <w:r>
        <w:rPr>
          <w:rFonts w:cstheme="minorHAnsi"/>
          <w:color w:val="3a4445"/>
        </w:rPr>
        <w:t xml:space="preserve">, on peut le remplacer par </w:t>
      </w:r>
      <w:r>
        <w:rPr>
          <w:bCs/>
        </w:rPr>
        <w:t xml:space="preserve">“</w:t>
      </w:r>
      <w:r>
        <w:rPr>
          <w:rFonts w:cstheme="minorHAnsi"/>
          <w:color w:val="3a4445"/>
        </w:rPr>
        <w:t xml:space="preserve">desafíos”</w:t>
      </w:r>
      <w:r>
        <w:rPr>
          <w:rFonts w:cstheme="minorHAnsi"/>
          <w:color w:val="3a4445"/>
        </w:rPr>
        <w:t xml:space="preserve"> </w:t>
      </w:r>
      <w:r>
        <w:rPr>
          <w:rFonts w:cstheme="minorHAnsi"/>
          <w:color w:val="3a4445"/>
        </w:rPr>
        <w:t xml:space="preserve">ou</w:t>
      </w:r>
      <w:r>
        <w:rPr>
          <w:rFonts w:cstheme="minorHAnsi"/>
          <w:color w:val="3a4445"/>
        </w:rPr>
        <w:t xml:space="preserve"> </w:t>
      </w:r>
      <w:r>
        <w:rPr>
          <w:bCs/>
        </w:rPr>
        <w:t xml:space="preserve">“</w:t>
      </w:r>
      <w:r>
        <w:rPr>
          <w:rFonts w:cstheme="minorHAnsi"/>
          <w:color w:val="3a4445"/>
        </w:rPr>
        <w:t xml:space="preserve">provocaciones”</w:t>
      </w:r>
      <w:r>
        <w:rPr>
          <w:rFonts w:cstheme="minorHAnsi"/>
          <w:color w:val="3a4445"/>
        </w:rPr>
        <w:t xml:space="preserve">.</w:t>
      </w:r>
      <w:r>
        <w:rPr>
          <w:rStyle w:val="864"/>
          <w:rFonts w:cstheme="minorHAnsi"/>
          <w:color w:val="3a4445"/>
          <w:lang w:val="es-ES"/>
        </w:rPr>
        <w:footnoteReference w:id="4"/>
      </w:r>
      <w:r/>
    </w:p>
    <w:p>
      <w:pPr>
        <w:ind w:left="142" w:hanging="142"/>
        <w:jc w:val="both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Ligne 1 : </w:t>
      </w:r>
      <w:r>
        <w:rPr>
          <w:bCs/>
        </w:rPr>
        <w:t xml:space="preserve">[</w:t>
      </w:r>
      <w:r>
        <w:rPr>
          <w:rFonts w:cstheme="minorHAnsi"/>
          <w:i/>
          <w:iCs/>
          <w:color w:val="3a4445"/>
        </w:rPr>
        <w:t xml:space="preserve">debido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 :</w:t>
      </w:r>
      <w:r>
        <w:rPr>
          <w:rFonts w:cstheme="minorHAnsi"/>
          <w:color w:val="3a4445"/>
        </w:rPr>
        <w:t xml:space="preserve"> participe passé de </w:t>
      </w:r>
      <w:r>
        <w:rPr>
          <w:bCs/>
        </w:rPr>
        <w:t xml:space="preserve">“deber”. </w:t>
      </w:r>
      <w:r>
        <w:rPr>
          <w:bCs/>
        </w:rPr>
        <w:t xml:space="preserve">On peut remplacer l’expression</w:t>
      </w:r>
      <w:r>
        <w:rPr>
          <w:bCs/>
        </w:rPr>
        <w:t xml:space="preserve"> [</w:t>
      </w:r>
      <w:r>
        <w:rPr>
          <w:rFonts w:cstheme="minorHAnsi"/>
          <w:i/>
          <w:iCs/>
          <w:color w:val="3a4445"/>
        </w:rPr>
        <w:t xml:space="preserve">debido a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 par</w:t>
      </w:r>
      <w:r>
        <w:rPr>
          <w:bCs/>
        </w:rPr>
        <w:t xml:space="preserve"> “</w:t>
      </w:r>
      <w:r>
        <w:t xml:space="preserve">consecuencia de</w:t>
      </w:r>
      <w:r>
        <w:rPr>
          <w:i/>
          <w:iCs/>
        </w:rPr>
        <w:t xml:space="preserve">”</w:t>
      </w:r>
      <w:r>
        <w:rPr>
          <w:bCs/>
        </w:rPr>
        <w:t xml:space="preserve">.</w:t>
      </w:r>
      <w:r>
        <w:rPr>
          <w:rStyle w:val="864"/>
          <w:bCs/>
          <w:lang w:val="it-IT"/>
        </w:rPr>
        <w:footnoteReference w:id="5"/>
      </w:r>
      <w:r/>
    </w:p>
    <w:p>
      <w:pPr>
        <w:ind w:left="142" w:hanging="142"/>
        <w:jc w:val="both"/>
        <w:rPr>
          <w:rFonts w:cstheme="minorHAnsi"/>
          <w:color w:val="3a4445"/>
          <w:lang w:val="es-ES"/>
        </w:rPr>
      </w:pPr>
      <w:r>
        <w:rPr>
          <w:rFonts w:cstheme="minorHAnsi"/>
          <w:color w:val="3a4445"/>
        </w:rPr>
        <w:t xml:space="preserve">Ligne </w:t>
      </w:r>
      <w:r>
        <w:rPr>
          <w:rFonts w:cstheme="minorHAnsi"/>
          <w:color w:val="3a4445"/>
        </w:rPr>
        <w:t xml:space="preserve">2</w:t>
      </w:r>
      <w:r>
        <w:rPr>
          <w:rFonts w:cstheme="minorHAnsi"/>
          <w:color w:val="3a4445"/>
        </w:rPr>
        <w:t xml:space="preserve"> : </w:t>
      </w:r>
      <w:r>
        <w:rPr>
          <w:bCs/>
        </w:rPr>
        <w:t xml:space="preserve">[</w:t>
      </w:r>
      <w:r>
        <w:rPr>
          <w:i/>
          <w:iCs/>
        </w:rPr>
        <w:t xml:space="preserve">deberá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 :</w:t>
      </w:r>
      <w:r>
        <w:rPr>
          <w:rFonts w:cstheme="minorHAnsi"/>
          <w:color w:val="3a4445"/>
        </w:rPr>
        <w:t xml:space="preserve"> 3</w:t>
      </w:r>
      <w:r>
        <w:rPr>
          <w:rFonts w:cstheme="minorHAnsi"/>
          <w:color w:val="3a4445"/>
          <w:vertAlign w:val="superscript"/>
        </w:rPr>
        <w:t xml:space="preserve">ème</w:t>
      </w:r>
      <w:r>
        <w:rPr>
          <w:rFonts w:cstheme="minorHAnsi"/>
          <w:color w:val="3a4445"/>
        </w:rPr>
        <w:t xml:space="preserve"> personne du singulier du futur de l’infinitif </w:t>
      </w:r>
      <w:r>
        <w:rPr>
          <w:bCs/>
        </w:rPr>
        <w:t xml:space="preserve">“deber” </w:t>
      </w:r>
      <w:r>
        <w:rPr>
          <w:bCs/>
        </w:rPr>
        <w:t xml:space="preserve">qui a le sens de</w:t>
      </w:r>
      <w:r>
        <w:rPr>
          <w:bCs/>
        </w:rPr>
        <w:t xml:space="preserve"> “estar obligado a”. </w:t>
      </w:r>
      <w:r>
        <w:rPr>
          <w:bCs/>
          <w:lang w:val="es-ES"/>
        </w:rPr>
        <w:t xml:space="preserve">On peut remplacer [</w:t>
      </w:r>
      <w:r>
        <w:rPr>
          <w:lang w:val="es-ES"/>
        </w:rPr>
        <w:t xml:space="preserve">deberá</w:t>
      </w:r>
      <w:r>
        <w:rPr>
          <w:bCs/>
          <w:lang w:val="es-ES"/>
        </w:rPr>
        <w:t xml:space="preserve">] par “</w:t>
      </w:r>
      <w:r>
        <w:rPr>
          <w:bCs/>
          <w:lang w:val="es-ES"/>
        </w:rPr>
        <w:t xml:space="preserve">se verá obligado a</w:t>
      </w:r>
      <w:r>
        <w:rPr>
          <w:bCs/>
          <w:lang w:val="es-ES"/>
        </w:rPr>
        <w:t xml:space="preserve">”.</w:t>
      </w:r>
      <w:r>
        <w:rPr>
          <w:rStyle w:val="864"/>
          <w:bCs/>
          <w:lang w:val="es-ES"/>
        </w:rPr>
        <w:footnoteReference w:id="6"/>
      </w:r>
      <w:r/>
    </w:p>
    <w:p>
      <w:pPr>
        <w:rPr>
          <w:rFonts w:cstheme="minorHAnsi"/>
          <w:b/>
          <w:bCs/>
          <w:color w:val="000000" w:themeColor="text1"/>
          <w:lang w:val="es-ES"/>
        </w:rPr>
      </w:pPr>
      <w:r>
        <w:rPr>
          <w:rFonts w:cstheme="minorHAnsi"/>
          <w:color w:val="3a4445"/>
          <w:lang w:val="es-ES"/>
        </w:rPr>
        <w:t xml:space="preserve">Ligne 2 : </w:t>
      </w:r>
      <w:r>
        <w:rPr>
          <w:bCs/>
          <w:lang w:val="es-ES"/>
        </w:rPr>
        <w:t xml:space="preserve">[</w:t>
      </w:r>
      <w:r>
        <w:rPr>
          <w:bCs/>
          <w:i/>
          <w:iCs/>
          <w:lang w:val="es-ES"/>
        </w:rPr>
        <w:t xml:space="preserve">el </w:t>
      </w:r>
      <w:r>
        <w:rPr>
          <w:i/>
          <w:iCs/>
          <w:lang w:val="es-ES"/>
        </w:rPr>
        <w:t xml:space="preserve">sentido</w:t>
      </w:r>
      <w:r>
        <w:rPr>
          <w:bCs/>
          <w:lang w:val="es-ES"/>
        </w:rPr>
        <w:t xml:space="preserve">]</w:t>
      </w:r>
      <w:r>
        <w:rPr>
          <w:rFonts w:cstheme="minorHAnsi"/>
          <w:color w:val="3a4445"/>
          <w:lang w:val="es-ES"/>
        </w:rPr>
        <w:t xml:space="preserve"> :</w:t>
      </w:r>
      <w:r>
        <w:rPr>
          <w:rFonts w:cstheme="minorHAnsi"/>
          <w:color w:val="3a4445"/>
          <w:lang w:val="es-ES"/>
        </w:rPr>
        <w:t xml:space="preserve"> </w:t>
      </w:r>
      <w:r>
        <w:rPr>
          <w:bCs/>
          <w:lang w:val="es-ES"/>
        </w:rPr>
        <w:t xml:space="preserve">on peut remplacer par “</w:t>
      </w:r>
      <w:r>
        <w:rPr>
          <w:bCs/>
          <w:lang w:val="es-ES"/>
        </w:rPr>
        <w:t xml:space="preserve">el significado</w:t>
      </w:r>
      <w:r>
        <w:rPr>
          <w:bCs/>
          <w:lang w:val="es-ES"/>
        </w:rPr>
        <w:t xml:space="preserve">”</w:t>
      </w:r>
      <w:r>
        <w:rPr>
          <w:rFonts w:cstheme="minorHAnsi"/>
          <w:color w:val="3a4445"/>
          <w:lang w:val="es-ES"/>
        </w:rPr>
        <w:t xml:space="preserve">.</w:t>
      </w:r>
      <w:r>
        <w:rPr>
          <w:rStyle w:val="864"/>
          <w:rFonts w:cstheme="minorHAnsi"/>
          <w:color w:val="3a4445"/>
        </w:rPr>
        <w:footnoteReference w:id="7"/>
      </w:r>
      <w:r/>
    </w:p>
    <w:p>
      <w:pPr>
        <w:rPr>
          <w:rFonts w:cstheme="minorHAnsi"/>
          <w:b/>
          <w:bCs/>
          <w:color w:val="000000" w:themeColor="text1"/>
          <w:sz w:val="10"/>
          <w:szCs w:val="10"/>
          <w:lang w:val="es-ES"/>
        </w:rPr>
      </w:pPr>
      <w:r>
        <w:rPr>
          <w:rFonts w:cstheme="minorHAnsi"/>
          <w:b/>
          <w:bCs/>
          <w:color w:val="000000" w:themeColor="text1"/>
          <w:sz w:val="10"/>
          <w:szCs w:val="10"/>
          <w:lang w:val="es-ES"/>
        </w:rPr>
      </w:r>
      <w:r/>
    </w:p>
    <w:p>
      <w:pPr>
        <w:rPr>
          <w:rFonts w:cstheme="minorHAnsi"/>
          <w:b/>
          <w:bCs/>
          <w:color w:val="000000" w:themeColor="text1"/>
          <w:lang w:val="es-ES"/>
        </w:rPr>
      </w:pPr>
      <w:r>
        <w:rPr>
          <w:rFonts w:cstheme="minorHAnsi"/>
          <w:b/>
          <w:bCs/>
          <w:color w:val="000000" w:themeColor="text1"/>
          <w:lang w:val="es-ES"/>
        </w:rPr>
      </w:r>
      <w:r/>
    </w:p>
    <w:p>
      <w:pPr>
        <w:rPr>
          <w:rFonts w:cstheme="minorHAnsi"/>
          <w:b/>
          <w:bCs/>
          <w:color w:val="000000" w:themeColor="text1"/>
          <w:lang w:val="es-ES"/>
        </w:rPr>
      </w:pPr>
      <w:r>
        <w:rPr>
          <w:rFonts w:cstheme="minorHAnsi"/>
          <w:b/>
          <w:bCs/>
          <w:color w:val="000000" w:themeColor="text1"/>
          <w:lang w:val="es-ES"/>
        </w:rPr>
        <w:br w:type="page" w:clear="all"/>
      </w:r>
      <w:r/>
    </w:p>
    <w:p>
      <w:pPr>
        <w:rPr>
          <w:rFonts w:cstheme="minorHAnsi"/>
          <w:b/>
          <w:bCs/>
          <w:color w:val="000000" w:themeColor="text1"/>
          <w:lang w:val="es-ES"/>
        </w:rPr>
      </w:pPr>
      <w:r>
        <w:rPr>
          <w:rFonts w:cstheme="minorHAnsi"/>
          <w:b/>
          <w:bCs/>
          <w:color w:val="000000" w:themeColor="text1"/>
          <w:lang w:val="es-ES"/>
        </w:rPr>
        <w:t xml:space="preserve">L.3-6</w:t>
      </w:r>
      <w:r/>
    </w:p>
    <w:p>
      <w:pPr>
        <w:rPr>
          <w:sz w:val="10"/>
          <w:szCs w:val="10"/>
          <w:lang w:val="es-ES"/>
        </w:rPr>
      </w:pPr>
      <w:r>
        <w:rPr>
          <w:sz w:val="10"/>
          <w:szCs w:val="10"/>
          <w:lang w:val="es-ES"/>
        </w:rPr>
      </w:r>
      <w:r/>
    </w:p>
    <w:p>
      <w:pPr>
        <w:ind w:left="851"/>
        <w:jc w:val="both"/>
        <w:rPr>
          <w:i/>
          <w:iCs/>
          <w:u w:val="single"/>
          <w:lang w:val="es-ES"/>
        </w:rPr>
      </w:pPr>
      <w:r>
        <w:rPr>
          <w:i/>
          <w:iCs/>
          <w:lang w:val="es-ES"/>
        </w:rPr>
        <w:t xml:space="preserve">Para ello, </w:t>
      </w:r>
      <w:r>
        <w:rPr>
          <w:i/>
          <w:iCs/>
          <w:u w:val="single"/>
          <w:lang w:val="es-ES"/>
        </w:rPr>
        <w:t xml:space="preserve">deberá</w:t>
      </w:r>
      <w:r>
        <w:rPr>
          <w:i/>
          <w:iCs/>
          <w:lang w:val="es-ES"/>
        </w:rPr>
        <w:t xml:space="preserve"> utilizar los conocimientos biculturales, complementos cognitivos y</w:t>
      </w:r>
      <w:r>
        <w:rPr>
          <w:i/>
          <w:iCs/>
          <w:lang w:val="es-ES"/>
        </w:rPr>
        <w:t xml:space="preserve"> </w:t>
      </w:r>
      <w:r>
        <w:rPr>
          <w:i/>
          <w:iCs/>
          <w:u w:val="single"/>
          <w:lang w:val="es-ES"/>
        </w:rPr>
        <w:t xml:space="preserve">hacer alarde de</w:t>
      </w:r>
      <w:r>
        <w:rPr>
          <w:i/>
          <w:iCs/>
          <w:lang w:val="es-ES"/>
        </w:rPr>
        <w:t xml:space="preserve"> creatividad para producir en el lector del texto </w:t>
      </w:r>
      <w:r>
        <w:rPr>
          <w:i/>
          <w:iCs/>
          <w:u w:val="single"/>
          <w:lang w:val="es-ES"/>
        </w:rPr>
        <w:t xml:space="preserve">meta</w:t>
      </w:r>
      <w:r>
        <w:rPr>
          <w:i/>
          <w:iCs/>
          <w:lang w:val="es-ES"/>
        </w:rPr>
        <w:t xml:space="preserve"> el mismo efecto </w:t>
      </w:r>
      <w:r/>
    </w:p>
    <w:p>
      <w:pPr>
        <w:ind w:left="851"/>
        <w:rPr>
          <w:lang w:val="es-ES"/>
        </w:rPr>
      </w:pPr>
      <w:r>
        <w:rPr>
          <w:i/>
          <w:iCs/>
          <w:lang w:val="es-ES"/>
        </w:rPr>
        <w:t xml:space="preserve">humorístico que </w:t>
      </w:r>
      <w:r>
        <w:rPr>
          <w:i/>
          <w:iCs/>
          <w:u w:val="single"/>
          <w:lang w:val="es-ES"/>
        </w:rPr>
        <w:t xml:space="preserve">despertó</w:t>
      </w:r>
      <w:r>
        <w:rPr>
          <w:i/>
          <w:iCs/>
          <w:lang w:val="es-ES"/>
        </w:rPr>
        <w:t xml:space="preserve"> en el lector de la cultura origen</w:t>
      </w:r>
      <w:r>
        <w:rPr>
          <w:lang w:val="es-ES"/>
        </w:rPr>
        <w:t xml:space="preserve">.</w:t>
      </w:r>
      <w:r/>
    </w:p>
    <w:p>
      <w:pPr>
        <w:rPr>
          <w:rFonts w:cstheme="minorHAnsi"/>
          <w:color w:val="000000" w:themeColor="text1"/>
          <w:sz w:val="10"/>
          <w:szCs w:val="10"/>
          <w:lang w:val="es-ES"/>
        </w:rPr>
      </w:pPr>
      <w:r>
        <w:rPr>
          <w:rFonts w:cstheme="minorHAnsi"/>
          <w:color w:val="000000" w:themeColor="text1"/>
          <w:sz w:val="10"/>
          <w:szCs w:val="10"/>
          <w:lang w:val="es-ES"/>
        </w:rPr>
      </w:r>
      <w:r/>
    </w:p>
    <w:p>
      <w:pPr>
        <w:rPr>
          <w:rFonts w:cstheme="minorHAnsi"/>
          <w:color w:val="3a4445"/>
          <w:lang w:val="es-ES"/>
        </w:rPr>
      </w:pPr>
      <w:r>
        <w:rPr>
          <w:rFonts w:cstheme="minorHAnsi"/>
          <w:color w:val="3a4445"/>
          <w:lang w:val="es-ES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Ligne </w:t>
      </w:r>
      <w:r>
        <w:rPr>
          <w:rFonts w:cstheme="minorHAnsi"/>
          <w:color w:val="3a4445"/>
        </w:rPr>
        <w:t xml:space="preserve">4</w:t>
      </w:r>
      <w:r>
        <w:rPr>
          <w:rFonts w:cstheme="minorHAnsi"/>
          <w:color w:val="3a4445"/>
        </w:rPr>
        <w:t xml:space="preserve"> : </w:t>
      </w:r>
      <w:r>
        <w:rPr>
          <w:bCs/>
        </w:rPr>
        <w:t xml:space="preserve">[</w:t>
      </w:r>
      <w:r>
        <w:rPr>
          <w:i/>
          <w:iCs/>
        </w:rPr>
        <w:t xml:space="preserve">deberá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 :</w:t>
      </w:r>
      <w:r>
        <w:rPr>
          <w:rFonts w:cstheme="minorHAnsi"/>
          <w:color w:val="3a4445"/>
        </w:rPr>
        <w:t xml:space="preserve"> nous l’avons déjà rencontré à la ligne 2.</w:t>
      </w:r>
      <w:r/>
    </w:p>
    <w:p>
      <w:pPr>
        <w:rPr>
          <w:i/>
          <w:iCs/>
          <w:u w:val="single"/>
        </w:rPr>
      </w:pPr>
      <w:r>
        <w:rPr>
          <w:rFonts w:cstheme="minorHAnsi"/>
          <w:color w:val="3a4445"/>
        </w:rPr>
        <w:t xml:space="preserve">Ligne</w:t>
      </w:r>
      <w:r>
        <w:rPr>
          <w:rFonts w:cstheme="minorHAnsi"/>
          <w:color w:val="3a4445"/>
        </w:rPr>
        <w:t xml:space="preserve">s</w:t>
      </w:r>
      <w:r>
        <w:rPr>
          <w:rFonts w:cstheme="minorHAnsi"/>
          <w:color w:val="3a4445"/>
        </w:rPr>
        <w:t xml:space="preserve"> </w:t>
      </w:r>
      <w:r>
        <w:rPr>
          <w:rFonts w:cstheme="minorHAnsi"/>
          <w:color w:val="3a4445"/>
        </w:rPr>
        <w:t xml:space="preserve">4-5</w:t>
      </w:r>
      <w:r>
        <w:rPr>
          <w:rFonts w:cstheme="minorHAnsi"/>
          <w:color w:val="3a4445"/>
        </w:rPr>
        <w:t xml:space="preserve"> : </w:t>
      </w:r>
      <w:r>
        <w:rPr>
          <w:bCs/>
        </w:rPr>
        <w:t xml:space="preserve">[</w:t>
      </w:r>
      <w:r>
        <w:rPr>
          <w:i/>
          <w:iCs/>
        </w:rPr>
        <w:t xml:space="preserve">hacer alarde de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 :</w:t>
      </w:r>
      <w:r>
        <w:rPr>
          <w:rFonts w:cstheme="minorHAnsi"/>
          <w:color w:val="3a4445"/>
        </w:rPr>
        <w:t xml:space="preserve"> on peut le remplacer par </w:t>
      </w:r>
      <w:r>
        <w:rPr>
          <w:bCs/>
        </w:rPr>
        <w:t xml:space="preserve">“mostrar” </w:t>
      </w:r>
      <w:r>
        <w:rPr>
          <w:bCs/>
        </w:rPr>
        <w:t xml:space="preserve">ou</w:t>
      </w:r>
      <w:r>
        <w:rPr>
          <w:bCs/>
        </w:rPr>
        <w:t xml:space="preserve"> “ser capaz de”</w:t>
      </w:r>
      <w:r>
        <w:rPr>
          <w:rFonts w:cstheme="minorHAnsi"/>
          <w:color w:val="3a4445"/>
        </w:rPr>
        <w:t xml:space="preserve">.</w:t>
      </w:r>
      <w:r>
        <w:rPr>
          <w:rStyle w:val="864"/>
          <w:rFonts w:cstheme="minorHAnsi"/>
          <w:color w:val="3a4445"/>
        </w:rPr>
        <w:footnoteReference w:id="8"/>
      </w:r>
      <w:r/>
    </w:p>
    <w:p>
      <w:pPr>
        <w:rPr>
          <w:rFonts w:cstheme="minorHAnsi"/>
          <w:color w:val="3a4445"/>
          <w:lang w:val="es-ES"/>
        </w:rPr>
      </w:pPr>
      <w:r>
        <w:rPr>
          <w:rFonts w:cstheme="minorHAnsi"/>
          <w:color w:val="3a4445"/>
        </w:rPr>
        <w:t xml:space="preserve">Ligne </w:t>
      </w:r>
      <w:r>
        <w:rPr>
          <w:rFonts w:cstheme="minorHAnsi"/>
          <w:color w:val="3a4445"/>
        </w:rPr>
        <w:t xml:space="preserve">5</w:t>
      </w:r>
      <w:r>
        <w:rPr>
          <w:rFonts w:cstheme="minorHAnsi"/>
          <w:color w:val="3a4445"/>
        </w:rPr>
        <w:t xml:space="preserve"> : </w:t>
      </w:r>
      <w:r>
        <w:rPr>
          <w:bCs/>
        </w:rPr>
        <w:t xml:space="preserve">[</w:t>
      </w:r>
      <w:r>
        <w:rPr>
          <w:i/>
          <w:iCs/>
        </w:rPr>
        <w:t xml:space="preserve">meta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 : on peut le remplacer par </w:t>
      </w:r>
      <w:r>
        <w:rPr>
          <w:bCs/>
        </w:rPr>
        <w:t xml:space="preserve">“objetivo”. </w:t>
      </w:r>
      <w:r>
        <w:rPr>
          <w:bCs/>
          <w:lang w:val="es-ES"/>
        </w:rPr>
        <w:t xml:space="preserve">L’expression [texto </w:t>
      </w:r>
      <w:r>
        <w:rPr>
          <w:lang w:val="es-ES"/>
        </w:rPr>
        <w:t xml:space="preserve">meta</w:t>
      </w:r>
      <w:r>
        <w:rPr>
          <w:bCs/>
          <w:lang w:val="es-ES"/>
        </w:rPr>
        <w:t xml:space="preserve">]</w:t>
      </w:r>
      <w:r>
        <w:rPr>
          <w:rFonts w:cstheme="minorHAnsi"/>
          <w:color w:val="3a4445"/>
          <w:lang w:val="es-ES"/>
        </w:rPr>
        <w:t xml:space="preserve"> signifie </w:t>
      </w:r>
      <w:r>
        <w:rPr>
          <w:bCs/>
          <w:lang w:val="es-ES"/>
        </w:rPr>
        <w:t xml:space="preserve">“</w:t>
      </w:r>
      <w:r>
        <w:rPr>
          <w:bCs/>
          <w:lang w:val="es-ES"/>
        </w:rPr>
        <w:t xml:space="preserve">el texto resultante de la traducción</w:t>
      </w:r>
      <w:r>
        <w:rPr>
          <w:bCs/>
          <w:lang w:val="es-ES"/>
        </w:rPr>
        <w:t xml:space="preserve">”.</w:t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Ligne </w:t>
      </w:r>
      <w:r>
        <w:rPr>
          <w:rFonts w:cstheme="minorHAnsi"/>
          <w:color w:val="3a4445"/>
        </w:rPr>
        <w:t xml:space="preserve">6</w:t>
      </w:r>
      <w:r>
        <w:rPr>
          <w:rFonts w:cstheme="minorHAnsi"/>
          <w:color w:val="3a4445"/>
        </w:rPr>
        <w:t xml:space="preserve"> : </w:t>
      </w:r>
      <w:r>
        <w:rPr>
          <w:bCs/>
        </w:rPr>
        <w:t xml:space="preserve">[</w:t>
      </w:r>
      <w:r>
        <w:rPr>
          <w:i/>
          <w:iCs/>
        </w:rPr>
        <w:t xml:space="preserve">despertó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 :</w:t>
      </w:r>
      <w:r>
        <w:rPr>
          <w:rFonts w:cstheme="minorHAnsi"/>
          <w:color w:val="3a4445"/>
        </w:rPr>
        <w:t xml:space="preserve"> </w:t>
      </w:r>
      <w:r>
        <w:rPr>
          <w:rFonts w:cstheme="minorHAnsi"/>
          <w:color w:val="3a4445"/>
        </w:rPr>
        <w:t xml:space="preserve">on peut remplacer ce verbe par </w:t>
      </w:r>
      <w:r>
        <w:rPr>
          <w:bCs/>
        </w:rPr>
        <w:t xml:space="preserve">“ha creado”</w:t>
      </w:r>
      <w:r>
        <w:rPr>
          <w:rFonts w:cstheme="minorHAnsi"/>
          <w:color w:val="3a4445"/>
        </w:rPr>
        <w:t xml:space="preserve">.</w:t>
      </w:r>
      <w:r>
        <w:rPr>
          <w:rStyle w:val="864"/>
          <w:rFonts w:cstheme="minorHAnsi"/>
          <w:color w:val="3a4445"/>
        </w:rPr>
        <w:footnoteReference w:id="9"/>
      </w:r>
      <w:r/>
    </w:p>
    <w:p>
      <w:pPr>
        <w:rPr>
          <w:rFonts w:cstheme="minorHAnsi"/>
          <w:b/>
          <w:bCs/>
          <w:color w:val="000000" w:themeColor="text1"/>
          <w:sz w:val="10"/>
          <w:szCs w:val="10"/>
        </w:rPr>
      </w:pPr>
      <w:r>
        <w:rPr>
          <w:rFonts w:cstheme="minorHAnsi"/>
          <w:b/>
          <w:bCs/>
          <w:color w:val="000000" w:themeColor="text1"/>
          <w:sz w:val="10"/>
          <w:szCs w:val="10"/>
        </w:rPr>
      </w:r>
      <w:r/>
    </w:p>
    <w:p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</w:r>
      <w:r/>
    </w:p>
    <w:p>
      <w:pPr>
        <w:rPr>
          <w:rFonts w:cstheme="minorHAnsi"/>
          <w:b/>
          <w:bCs/>
          <w:color w:val="000000" w:themeColor="text1"/>
          <w:lang w:val="es-ES"/>
        </w:rPr>
      </w:pPr>
      <w:r>
        <w:rPr>
          <w:rFonts w:cstheme="minorHAnsi"/>
          <w:b/>
          <w:bCs/>
          <w:color w:val="000000" w:themeColor="text1"/>
          <w:lang w:val="es-ES"/>
        </w:rPr>
        <w:t xml:space="preserve">L.6-9</w:t>
      </w:r>
      <w:r/>
    </w:p>
    <w:p>
      <w:pPr>
        <w:rPr>
          <w:sz w:val="10"/>
          <w:szCs w:val="10"/>
          <w:lang w:val="es-ES"/>
        </w:rPr>
      </w:pPr>
      <w:r>
        <w:rPr>
          <w:sz w:val="10"/>
          <w:szCs w:val="10"/>
          <w:lang w:val="es-ES"/>
        </w:rPr>
      </w:r>
      <w:r/>
    </w:p>
    <w:p>
      <w:pPr>
        <w:ind w:left="851"/>
        <w:jc w:val="both"/>
        <w:rPr>
          <w:lang w:val="es-ES"/>
        </w:rPr>
      </w:pPr>
      <w:r>
        <w:rPr>
          <w:i/>
          <w:iCs/>
          <w:lang w:val="es-ES"/>
        </w:rPr>
        <w:t xml:space="preserve">Basado en un </w:t>
      </w:r>
      <w:r>
        <w:rPr>
          <w:i/>
          <w:iCs/>
          <w:u w:val="single"/>
          <w:lang w:val="es-ES"/>
        </w:rPr>
        <w:t xml:space="preserve">taller</w:t>
      </w:r>
      <w:r>
        <w:rPr>
          <w:i/>
          <w:iCs/>
          <w:lang w:val="es-ES"/>
        </w:rPr>
        <w:t xml:space="preserve"> de traducción creativa de cómic que ejemplifica los conceptos teóricos, </w:t>
      </w:r>
      <w:r>
        <w:rPr>
          <w:i/>
          <w:iCs/>
          <w:u w:val="single"/>
          <w:lang w:val="es-ES"/>
        </w:rPr>
        <w:t xml:space="preserve">pretendemos</w:t>
      </w:r>
      <w:r>
        <w:rPr>
          <w:i/>
          <w:iCs/>
          <w:lang w:val="es-ES"/>
        </w:rPr>
        <w:t xml:space="preserve"> demostrar la importancia de una formación bicultural del traductor para abordar la traducción creativa de este </w:t>
      </w:r>
      <w:r>
        <w:rPr>
          <w:i/>
          <w:iCs/>
          <w:u w:val="single"/>
          <w:lang w:val="es-ES"/>
        </w:rPr>
        <w:t xml:space="preserve">complejo</w:t>
      </w:r>
      <w:r>
        <w:rPr>
          <w:i/>
          <w:iCs/>
          <w:lang w:val="es-ES"/>
        </w:rPr>
        <w:t xml:space="preserve"> </w:t>
      </w:r>
      <w:r>
        <w:rPr>
          <w:i/>
          <w:iCs/>
          <w:u w:val="single"/>
          <w:lang w:val="es-ES"/>
        </w:rPr>
        <w:t xml:space="preserve">medio</w:t>
      </w:r>
      <w:r>
        <w:rPr>
          <w:i/>
          <w:iCs/>
          <w:lang w:val="es-ES"/>
        </w:rPr>
        <w:t xml:space="preserve"> de expresión artística</w:t>
      </w:r>
      <w:r>
        <w:rPr>
          <w:lang w:val="es-ES"/>
        </w:rPr>
        <w:t xml:space="preserve">.</w:t>
      </w:r>
      <w:r/>
    </w:p>
    <w:p>
      <w:pPr>
        <w:rPr>
          <w:sz w:val="10"/>
          <w:szCs w:val="10"/>
          <w:lang w:val="es-ES"/>
        </w:rPr>
      </w:pPr>
      <w:r>
        <w:rPr>
          <w:sz w:val="10"/>
          <w:szCs w:val="10"/>
          <w:lang w:val="es-ES"/>
        </w:rPr>
      </w:r>
      <w:r/>
    </w:p>
    <w:p>
      <w:pPr>
        <w:rPr>
          <w:rFonts w:cstheme="minorHAnsi"/>
          <w:color w:val="3a4445"/>
          <w:lang w:val="es-ES"/>
        </w:rPr>
      </w:pPr>
      <w:r>
        <w:rPr>
          <w:rFonts w:cstheme="minorHAnsi"/>
          <w:color w:val="3a4445"/>
          <w:lang w:val="es-ES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Ligne </w:t>
      </w:r>
      <w:r>
        <w:rPr>
          <w:rFonts w:cstheme="minorHAnsi"/>
          <w:color w:val="3a4445"/>
        </w:rPr>
        <w:t xml:space="preserve">6</w:t>
      </w:r>
      <w:r>
        <w:rPr>
          <w:rFonts w:cstheme="minorHAnsi"/>
          <w:color w:val="3a4445"/>
        </w:rPr>
        <w:t xml:space="preserve"> : </w:t>
      </w:r>
      <w:r>
        <w:rPr>
          <w:bCs/>
        </w:rPr>
        <w:t xml:space="preserve">[</w:t>
      </w:r>
      <w:r>
        <w:rPr>
          <w:i/>
          <w:iCs/>
        </w:rPr>
        <w:t xml:space="preserve">taller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 :</w:t>
      </w:r>
      <w:r>
        <w:rPr>
          <w:rFonts w:cstheme="minorHAnsi"/>
          <w:color w:val="3a4445"/>
        </w:rPr>
        <w:t xml:space="preserve"> on peut le remplacer par </w:t>
      </w:r>
      <w:r>
        <w:rPr>
          <w:bCs/>
        </w:rPr>
        <w:t xml:space="preserve">“workshop”</w:t>
      </w:r>
      <w:r>
        <w:rPr>
          <w:rFonts w:cstheme="minorHAnsi"/>
          <w:color w:val="3a4445"/>
        </w:rPr>
        <w:t xml:space="preserve">.</w:t>
      </w:r>
      <w:r>
        <w:rPr>
          <w:rStyle w:val="864"/>
          <w:rFonts w:cstheme="minorHAnsi"/>
          <w:color w:val="3a4445"/>
        </w:rPr>
        <w:footnoteReference w:id="10"/>
      </w:r>
      <w:r/>
    </w:p>
    <w:p>
      <w:pPr>
        <w:ind w:left="142" w:hanging="142"/>
        <w:jc w:val="both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Ligne </w:t>
      </w:r>
      <w:r>
        <w:rPr>
          <w:rFonts w:cstheme="minorHAnsi"/>
          <w:color w:val="3a4445"/>
        </w:rPr>
        <w:t xml:space="preserve">7</w:t>
      </w:r>
      <w:r>
        <w:rPr>
          <w:rFonts w:cstheme="minorHAnsi"/>
          <w:color w:val="3a4445"/>
        </w:rPr>
        <w:t xml:space="preserve"> : </w:t>
      </w:r>
      <w:r>
        <w:rPr>
          <w:bCs/>
        </w:rPr>
        <w:t xml:space="preserve">[</w:t>
      </w:r>
      <w:r>
        <w:rPr>
          <w:i/>
          <w:iCs/>
        </w:rPr>
        <w:t xml:space="preserve">pretendemos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 :</w:t>
      </w:r>
      <w:r>
        <w:rPr>
          <w:rFonts w:cstheme="minorHAnsi"/>
          <w:color w:val="3a4445"/>
        </w:rPr>
        <w:t xml:space="preserve"> on peut le remplacer par </w:t>
      </w:r>
      <w:r>
        <w:rPr>
          <w:bCs/>
        </w:rPr>
        <w:t xml:space="preserve">“nosotros pretendemos”. </w:t>
      </w:r>
      <w:r>
        <w:rPr>
          <w:bCs/>
        </w:rPr>
        <w:t xml:space="preserve">En espagnol, le pronom personnel sujet</w:t>
      </w:r>
      <w:r>
        <w:rPr>
          <w:bCs/>
        </w:rPr>
        <w:t xml:space="preserve"> </w:t>
      </w:r>
      <w:r>
        <w:rPr>
          <w:bCs/>
        </w:rPr>
        <w:t xml:space="preserve">est facultatif devant le verbe, contrairement au français.</w:t>
      </w:r>
      <w:r/>
    </w:p>
    <w:p>
      <w:pPr>
        <w:ind w:left="142" w:hanging="142"/>
        <w:jc w:val="both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Ligne </w:t>
      </w:r>
      <w:r>
        <w:rPr>
          <w:rFonts w:cstheme="minorHAnsi"/>
          <w:color w:val="3a4445"/>
        </w:rPr>
        <w:t xml:space="preserve">9</w:t>
      </w:r>
      <w:r>
        <w:rPr>
          <w:rFonts w:cstheme="minorHAnsi"/>
          <w:color w:val="3a4445"/>
        </w:rPr>
        <w:t xml:space="preserve"> : </w:t>
      </w:r>
      <w:r>
        <w:rPr>
          <w:bCs/>
        </w:rPr>
        <w:t xml:space="preserve">[</w:t>
      </w:r>
      <w:r>
        <w:rPr>
          <w:i/>
          <w:iCs/>
        </w:rPr>
        <w:t xml:space="preserve">complejo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 :</w:t>
      </w:r>
      <w:r>
        <w:rPr>
          <w:rFonts w:cstheme="minorHAnsi"/>
          <w:color w:val="3a4445"/>
        </w:rPr>
        <w:t xml:space="preserve"> on peut le remplacer par </w:t>
      </w:r>
      <w:r>
        <w:rPr>
          <w:bCs/>
        </w:rPr>
        <w:t xml:space="preserve">“</w:t>
      </w:r>
      <w:r>
        <w:rPr>
          <w:bCs/>
        </w:rPr>
        <w:t xml:space="preserve">complicado</w:t>
      </w:r>
      <w:r>
        <w:rPr>
          <w:bCs/>
        </w:rPr>
        <w:t xml:space="preserve">”. </w:t>
      </w:r>
      <w:r>
        <w:rPr>
          <w:rFonts w:cstheme="minorHAnsi"/>
          <w:bCs/>
        </w:rPr>
        <w:t xml:space="preserve">A</w:t>
      </w:r>
      <w:r>
        <w:rPr>
          <w:rFonts w:cstheme="minorHAnsi"/>
          <w:bCs/>
        </w:rPr>
        <w:t xml:space="preserve">ide au repère de la structure de la phrase</w:t>
      </w:r>
      <w:r>
        <w:rPr>
          <w:rFonts w:cstheme="minorHAnsi"/>
          <w:bCs/>
        </w:rPr>
        <w:t xml:space="preserve"> : ordre syntaxique plus facile : </w:t>
      </w:r>
      <w:r>
        <w:rPr>
          <w:bCs/>
        </w:rPr>
        <w:t xml:space="preserve">[</w:t>
      </w:r>
      <w:r>
        <w:t xml:space="preserve">este medio de expresión artística complejo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.</w:t>
      </w:r>
      <w:r>
        <w:rPr>
          <w:rStyle w:val="864"/>
          <w:rFonts w:cstheme="minorHAnsi"/>
          <w:color w:val="3a4445"/>
        </w:rPr>
        <w:footnoteReference w:id="11"/>
      </w:r>
      <w:r/>
    </w:p>
    <w:p>
      <w:pPr>
        <w:ind w:left="142" w:hanging="142"/>
        <w:jc w:val="both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Ligne </w:t>
      </w:r>
      <w:r>
        <w:rPr>
          <w:rFonts w:cstheme="minorHAnsi"/>
          <w:color w:val="3a4445"/>
        </w:rPr>
        <w:t xml:space="preserve">9</w:t>
      </w:r>
      <w:r>
        <w:rPr>
          <w:rFonts w:cstheme="minorHAnsi"/>
          <w:color w:val="3a4445"/>
        </w:rPr>
        <w:t xml:space="preserve"> : </w:t>
      </w:r>
      <w:r>
        <w:rPr>
          <w:bCs/>
        </w:rPr>
        <w:t xml:space="preserve">[</w:t>
      </w:r>
      <w:r>
        <w:rPr>
          <w:i/>
          <w:iCs/>
        </w:rPr>
        <w:t xml:space="preserve">medio</w:t>
      </w:r>
      <w:r>
        <w:rPr>
          <w:bCs/>
        </w:rPr>
        <w:t xml:space="preserve">]</w:t>
      </w:r>
      <w:r>
        <w:rPr>
          <w:rFonts w:cstheme="minorHAnsi"/>
          <w:color w:val="3a4445"/>
        </w:rPr>
        <w:t xml:space="preserve"> :</w:t>
      </w:r>
      <w:r>
        <w:rPr>
          <w:rFonts w:cstheme="minorHAnsi"/>
          <w:color w:val="3a4445"/>
        </w:rPr>
        <w:t xml:space="preserve"> ce mot se comprend en lisant l’expression complète </w:t>
      </w:r>
      <w:r>
        <w:rPr>
          <w:bCs/>
        </w:rPr>
        <w:t xml:space="preserve">“medio de </w:t>
      </w:r>
      <w:r>
        <w:t xml:space="preserve">expresión</w:t>
      </w:r>
      <w:r>
        <w:rPr>
          <w:bCs/>
        </w:rPr>
        <w:t xml:space="preserve">”.</w:t>
      </w:r>
      <w:r>
        <w:rPr>
          <w:rStyle w:val="864"/>
          <w:bCs/>
          <w:lang w:val="es-ES"/>
        </w:rPr>
        <w:footnoteReference w:id="12"/>
      </w:r>
      <w:r/>
    </w:p>
    <w:sectPr>
      <w:headerReference w:type="default" r:id="rId8"/>
      <w:footerReference w:type="default" r:id="rId9"/>
      <w:footnotePr/>
      <w:endnotePr/>
      <w:type w:val="nextPage"/>
      <w:pgSz w:w="11900" w:h="16840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2277455"/>
      <w:docPartObj>
        <w:docPartGallery w:val="Page Numbers (Bottom of Page)"/>
        <w:docPartUnique w:val="true"/>
      </w:docPartObj>
      <w:rPr/>
    </w:sdtPr>
    <w:sdtContent>
      <w:p>
        <w:pPr>
          <w:pStyle w:val="87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62"/>
      </w:pPr>
      <w:r>
        <w:rPr>
          <w:rStyle w:val="864"/>
        </w:rPr>
        <w:footnoteRef/>
      </w:r>
      <w:r>
        <w:t xml:space="preserve"> Fr. </w:t>
      </w:r>
      <w:r>
        <w:rPr>
          <w:i/>
          <w:iCs/>
        </w:rPr>
        <w:t xml:space="preserve">bande dessinée</w:t>
      </w:r>
      <w:r>
        <w:t xml:space="preserve"> / It. </w:t>
      </w:r>
      <w:r>
        <w:rPr>
          <w:i/>
          <w:iCs/>
        </w:rPr>
        <w:t xml:space="preserve">fumetto</w:t>
      </w:r>
      <w:r>
        <w:t xml:space="preserve">.</w:t>
      </w:r>
      <w:r/>
    </w:p>
  </w:footnote>
  <w:footnote w:id="3">
    <w:p>
      <w:pPr>
        <w:pStyle w:val="862"/>
        <w:rPr>
          <w:lang w:val="en-US"/>
        </w:rPr>
      </w:pPr>
      <w:r>
        <w:rPr>
          <w:rStyle w:val="864"/>
        </w:rPr>
        <w:footnoteRef/>
      </w:r>
      <w:r>
        <w:rPr>
          <w:lang w:val="en-US"/>
        </w:rPr>
        <w:t xml:space="preserve"> </w:t>
      </w:r>
      <w:r>
        <w:rPr>
          <w:lang w:val="en-US"/>
        </w:rPr>
        <w:t xml:space="preserve">Fr. </w:t>
      </w:r>
      <w:r>
        <w:rPr>
          <w:i/>
          <w:iCs/>
          <w:lang w:val="en-US"/>
        </w:rPr>
        <w:t xml:space="preserve">pose</w:t>
      </w:r>
      <w:r>
        <w:rPr>
          <w:lang w:val="en-US"/>
        </w:rPr>
        <w:t xml:space="preserve"> / It. </w:t>
      </w:r>
      <w:r>
        <w:rPr>
          <w:i/>
          <w:iCs/>
          <w:lang w:val="en-US"/>
        </w:rPr>
        <w:t xml:space="preserve">pone.</w:t>
      </w:r>
      <w:r/>
    </w:p>
  </w:footnote>
  <w:footnote w:id="4">
    <w:p>
      <w:pPr>
        <w:pStyle w:val="862"/>
        <w:rPr>
          <w:lang w:val="en-US"/>
        </w:rPr>
      </w:pPr>
      <w:r>
        <w:rPr>
          <w:rStyle w:val="864"/>
        </w:rPr>
        <w:footnoteRef/>
      </w:r>
      <w:r>
        <w:rPr>
          <w:lang w:val="en-US"/>
        </w:rPr>
        <w:t xml:space="preserve"> Fr. </w:t>
      </w:r>
      <w:r>
        <w:rPr>
          <w:i/>
          <w:iCs/>
          <w:lang w:val="en-US"/>
        </w:rPr>
        <w:t xml:space="preserve">défis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/ It. </w:t>
      </w:r>
      <w:r>
        <w:rPr>
          <w:i/>
          <w:iCs/>
          <w:lang w:val="en-US"/>
        </w:rPr>
        <w:t xml:space="preserve">sfide</w:t>
      </w:r>
      <w:r>
        <w:rPr>
          <w:lang w:val="en-US"/>
        </w:rPr>
        <w:t xml:space="preserve">.</w:t>
      </w:r>
      <w:r/>
    </w:p>
  </w:footnote>
  <w:footnote w:id="5">
    <w:p>
      <w:pPr>
        <w:pStyle w:val="862"/>
        <w:rPr>
          <w:lang w:val="it-IT"/>
        </w:rPr>
      </w:pPr>
      <w:r>
        <w:rPr>
          <w:rStyle w:val="864"/>
        </w:rPr>
        <w:footnoteRef/>
      </w:r>
      <w:r>
        <w:rPr>
          <w:lang w:val="it-IT"/>
        </w:rPr>
        <w:t xml:space="preserve"> </w:t>
      </w:r>
      <w:r>
        <w:rPr>
          <w:bCs/>
          <w:lang w:val="it-IT"/>
        </w:rPr>
        <w:t xml:space="preserve">Fr. </w:t>
      </w:r>
      <w:r>
        <w:rPr>
          <w:i/>
          <w:iCs/>
          <w:lang w:val="it-IT"/>
        </w:rPr>
        <w:t xml:space="preserve">dû à</w:t>
      </w:r>
      <w:r>
        <w:rPr>
          <w:bCs/>
          <w:lang w:val="it-IT"/>
        </w:rPr>
        <w:t xml:space="preserve"> / It.</w:t>
      </w:r>
      <w:r>
        <w:rPr>
          <w:lang w:val="it-IT"/>
        </w:rPr>
        <w:t xml:space="preserve"> </w:t>
      </w:r>
      <w:r>
        <w:rPr>
          <w:i/>
          <w:iCs/>
          <w:lang w:val="it-IT"/>
        </w:rPr>
        <w:t xml:space="preserve">dovuto a</w:t>
      </w:r>
      <w:r>
        <w:rPr>
          <w:i/>
          <w:iCs/>
          <w:lang w:val="it-IT"/>
        </w:rPr>
        <w:t xml:space="preserve">.</w:t>
      </w:r>
      <w:r/>
    </w:p>
  </w:footnote>
  <w:footnote w:id="6">
    <w:p>
      <w:pPr>
        <w:pStyle w:val="862"/>
        <w:rPr>
          <w:lang w:val="it-IT"/>
        </w:rPr>
      </w:pPr>
      <w:r>
        <w:rPr>
          <w:rStyle w:val="864"/>
        </w:rPr>
        <w:footnoteRef/>
      </w:r>
      <w:r>
        <w:rPr>
          <w:lang w:val="it-IT"/>
        </w:rPr>
        <w:t xml:space="preserve"> </w:t>
      </w:r>
      <w:r>
        <w:rPr>
          <w:bCs/>
          <w:lang w:val="it-IT"/>
        </w:rPr>
        <w:t xml:space="preserve">Fr. </w:t>
      </w:r>
      <w:r>
        <w:rPr>
          <w:bCs/>
          <w:i/>
          <w:iCs/>
          <w:lang w:val="it-IT"/>
        </w:rPr>
        <w:t xml:space="preserve">devra</w:t>
      </w:r>
      <w:r>
        <w:rPr>
          <w:bCs/>
          <w:lang w:val="it-IT"/>
        </w:rPr>
        <w:t xml:space="preserve"> / It. </w:t>
      </w:r>
      <w:r>
        <w:rPr>
          <w:i/>
          <w:iCs/>
          <w:lang w:val="it-IT"/>
        </w:rPr>
        <w:t xml:space="preserve">dovrà</w:t>
      </w:r>
      <w:r>
        <w:rPr>
          <w:i/>
          <w:iCs/>
          <w:lang w:val="it-IT"/>
        </w:rPr>
        <w:t xml:space="preserve">.</w:t>
      </w:r>
      <w:r/>
    </w:p>
  </w:footnote>
  <w:footnote w:id="7">
    <w:p>
      <w:pPr>
        <w:pStyle w:val="862"/>
      </w:pPr>
      <w:r>
        <w:rPr>
          <w:rStyle w:val="864"/>
        </w:rPr>
        <w:footnoteRef/>
      </w:r>
      <w:r>
        <w:t xml:space="preserve"> </w:t>
      </w:r>
      <w:r>
        <w:rPr>
          <w:bCs/>
        </w:rPr>
        <w:t xml:space="preserve">Fr. </w:t>
      </w:r>
      <w:r>
        <w:rPr>
          <w:bCs/>
          <w:i/>
          <w:iCs/>
        </w:rPr>
        <w:t xml:space="preserve">sens </w:t>
      </w:r>
      <w:r>
        <w:rPr>
          <w:bCs/>
        </w:rPr>
        <w:t xml:space="preserve">/ It. </w:t>
      </w:r>
      <w:r>
        <w:rPr>
          <w:bCs/>
          <w:i/>
          <w:iCs/>
        </w:rPr>
        <w:t xml:space="preserve">sentito, significato</w:t>
      </w:r>
      <w:r>
        <w:rPr>
          <w:bCs/>
        </w:rPr>
        <w:t xml:space="preserve">.</w:t>
      </w:r>
      <w:r/>
    </w:p>
  </w:footnote>
  <w:footnote w:id="8">
    <w:p>
      <w:pPr>
        <w:pStyle w:val="862"/>
      </w:pPr>
      <w:r>
        <w:rPr>
          <w:rStyle w:val="864"/>
        </w:rPr>
        <w:footnoteRef/>
      </w:r>
      <w:r>
        <w:t xml:space="preserve"> </w:t>
      </w:r>
      <w:r>
        <w:rPr>
          <w:bCs/>
        </w:rPr>
        <w:t xml:space="preserve">Fr. </w:t>
      </w:r>
      <w:r>
        <w:rPr>
          <w:i/>
          <w:iCs/>
        </w:rPr>
        <w:t xml:space="preserve">montrer, démontrer,</w:t>
      </w:r>
      <w:r>
        <w:rPr>
          <w:i/>
          <w:iCs/>
          <w:color w:val="000000" w:themeColor="text1"/>
        </w:rPr>
        <w:t xml:space="preserve"> faire preuve de</w:t>
      </w:r>
      <w:r>
        <w:rPr>
          <w:color w:val="000000" w:themeColor="text1"/>
        </w:rPr>
        <w:t xml:space="preserve"> / It. </w:t>
      </w:r>
      <w:r>
        <w:rPr>
          <w:i/>
          <w:iCs/>
        </w:rPr>
        <w:t xml:space="preserve">dimostrare</w:t>
      </w:r>
      <w:r>
        <w:t xml:space="preserve">.</w:t>
      </w:r>
      <w:r/>
    </w:p>
  </w:footnote>
  <w:footnote w:id="9">
    <w:p>
      <w:pPr>
        <w:pStyle w:val="862"/>
        <w:rPr>
          <w:lang w:val="it-IT"/>
        </w:rPr>
      </w:pPr>
      <w:r>
        <w:rPr>
          <w:rStyle w:val="864"/>
        </w:rPr>
        <w:footnoteRef/>
      </w:r>
      <w:r>
        <w:rPr>
          <w:lang w:val="it-IT"/>
        </w:rPr>
        <w:t xml:space="preserve"> </w:t>
      </w:r>
      <w:r>
        <w:rPr>
          <w:bCs/>
          <w:lang w:val="it-IT"/>
        </w:rPr>
        <w:t xml:space="preserve">Fr. </w:t>
      </w:r>
      <w:r>
        <w:rPr>
          <w:i/>
          <w:iCs/>
          <w:lang w:val="it-IT"/>
        </w:rPr>
        <w:t xml:space="preserve">a é</w:t>
      </w:r>
      <w:r>
        <w:rPr>
          <w:i/>
          <w:iCs/>
          <w:lang w:val="it-IT"/>
        </w:rPr>
        <w:t xml:space="preserve">veill</w:t>
      </w:r>
      <w:r>
        <w:rPr>
          <w:i/>
          <w:iCs/>
          <w:lang w:val="it-IT"/>
        </w:rPr>
        <w:t xml:space="preserve">é</w:t>
      </w:r>
      <w:r>
        <w:rPr>
          <w:i/>
          <w:iCs/>
          <w:lang w:val="it-IT"/>
        </w:rPr>
        <w:t xml:space="preserve">, </w:t>
      </w:r>
      <w:r>
        <w:rPr>
          <w:i/>
          <w:iCs/>
          <w:lang w:val="it-IT"/>
        </w:rPr>
        <w:t xml:space="preserve">a </w:t>
      </w:r>
      <w:r>
        <w:rPr>
          <w:i/>
          <w:iCs/>
          <w:lang w:val="it-IT"/>
        </w:rPr>
        <w:t xml:space="preserve">suscit</w:t>
      </w:r>
      <w:r>
        <w:rPr>
          <w:i/>
          <w:iCs/>
          <w:lang w:val="it-IT"/>
        </w:rPr>
        <w:t xml:space="preserve">é</w:t>
      </w:r>
      <w:r>
        <w:rPr>
          <w:bCs/>
          <w:lang w:val="it-IT"/>
        </w:rPr>
        <w:t xml:space="preserve"> / It. </w:t>
      </w:r>
      <w:r>
        <w:rPr>
          <w:bCs/>
          <w:i/>
          <w:iCs/>
          <w:lang w:val="it-IT"/>
        </w:rPr>
        <w:t xml:space="preserve">ha </w:t>
      </w:r>
      <w:r>
        <w:rPr>
          <w:i/>
          <w:iCs/>
          <w:lang w:val="it-IT"/>
        </w:rPr>
        <w:t xml:space="preserve">s</w:t>
      </w:r>
      <w:r>
        <w:rPr>
          <w:i/>
          <w:iCs/>
          <w:lang w:val="it-IT"/>
        </w:rPr>
        <w:t xml:space="preserve">veglia</w:t>
      </w:r>
      <w:r>
        <w:rPr>
          <w:i/>
          <w:iCs/>
          <w:lang w:val="it-IT"/>
        </w:rPr>
        <w:t xml:space="preserve">to</w:t>
      </w:r>
      <w:r>
        <w:rPr>
          <w:i/>
          <w:iCs/>
          <w:lang w:val="it-IT"/>
        </w:rPr>
        <w:t xml:space="preserve">, </w:t>
      </w:r>
      <w:r>
        <w:rPr>
          <w:i/>
          <w:iCs/>
          <w:lang w:val="it-IT"/>
        </w:rPr>
        <w:t xml:space="preserve">ha </w:t>
      </w:r>
      <w:r>
        <w:rPr>
          <w:i/>
          <w:iCs/>
          <w:lang w:val="it-IT"/>
        </w:rPr>
        <w:t xml:space="preserve">suscita</w:t>
      </w:r>
      <w:r>
        <w:rPr>
          <w:i/>
          <w:iCs/>
          <w:lang w:val="it-IT"/>
        </w:rPr>
        <w:t xml:space="preserve">to</w:t>
      </w:r>
      <w:r>
        <w:rPr>
          <w:lang w:val="it-IT"/>
        </w:rPr>
        <w:t xml:space="preserve">.</w:t>
      </w:r>
      <w:r/>
    </w:p>
  </w:footnote>
  <w:footnote w:id="10">
    <w:p>
      <w:pPr>
        <w:pStyle w:val="862"/>
        <w:rPr>
          <w:lang w:val="en-US"/>
        </w:rPr>
      </w:pPr>
      <w:r>
        <w:rPr>
          <w:rStyle w:val="864"/>
        </w:rPr>
        <w:footnoteRef/>
      </w:r>
      <w:r>
        <w:rPr>
          <w:lang w:val="en-US"/>
        </w:rPr>
        <w:t xml:space="preserve"> </w:t>
      </w:r>
      <w:r>
        <w:rPr>
          <w:bCs/>
          <w:lang w:val="en-US"/>
        </w:rPr>
        <w:t xml:space="preserve">Fr. </w:t>
      </w:r>
      <w:r>
        <w:rPr>
          <w:i/>
          <w:iCs/>
          <w:lang w:val="en-US"/>
        </w:rPr>
        <w:t xml:space="preserve">atelier</w:t>
      </w:r>
      <w:r>
        <w:rPr>
          <w:bCs/>
          <w:lang w:val="en-US"/>
        </w:rPr>
        <w:t xml:space="preserve"> / It. </w:t>
      </w:r>
      <w:r>
        <w:rPr>
          <w:bCs/>
          <w:i/>
          <w:iCs/>
          <w:lang w:val="en-US"/>
        </w:rPr>
        <w:t xml:space="preserve">laboratorio</w:t>
      </w:r>
      <w:r>
        <w:rPr>
          <w:bCs/>
          <w:lang w:val="en-US"/>
        </w:rPr>
        <w:t xml:space="preserve">.</w:t>
      </w:r>
      <w:r/>
    </w:p>
  </w:footnote>
  <w:footnote w:id="11">
    <w:p>
      <w:pPr>
        <w:pStyle w:val="862"/>
        <w:rPr>
          <w:lang w:val="en-US"/>
        </w:rPr>
      </w:pPr>
      <w:r>
        <w:rPr>
          <w:rStyle w:val="864"/>
        </w:rPr>
        <w:footnoteRef/>
      </w:r>
      <w:r>
        <w:rPr>
          <w:lang w:val="en-US"/>
        </w:rPr>
        <w:t xml:space="preserve"> F</w:t>
      </w:r>
      <w:r>
        <w:rPr>
          <w:lang w:val="en-US"/>
        </w:rPr>
        <w:t xml:space="preserve">r. </w:t>
      </w:r>
      <w:r>
        <w:rPr>
          <w:i/>
          <w:iCs/>
          <w:lang w:val="en-US"/>
        </w:rPr>
        <w:t xml:space="preserve">complexe</w:t>
      </w:r>
      <w:r>
        <w:rPr>
          <w:lang w:val="en-US"/>
        </w:rPr>
        <w:t xml:space="preserve"> / It. </w:t>
      </w:r>
      <w:r>
        <w:rPr>
          <w:i/>
          <w:iCs/>
          <w:lang w:val="en-US"/>
        </w:rPr>
        <w:t xml:space="preserve">complesso</w:t>
      </w:r>
      <w:r>
        <w:rPr>
          <w:lang w:val="en-US"/>
        </w:rPr>
        <w:t xml:space="preserve">.</w:t>
      </w:r>
      <w:r/>
    </w:p>
  </w:footnote>
  <w:footnote w:id="12">
    <w:p>
      <w:pPr>
        <w:pStyle w:val="862"/>
        <w:rPr>
          <w:lang w:val="en-US"/>
        </w:rPr>
      </w:pPr>
      <w:r>
        <w:rPr>
          <w:rStyle w:val="864"/>
        </w:rPr>
        <w:footnoteRef/>
      </w:r>
      <w:r>
        <w:rPr>
          <w:lang w:val="en-US"/>
        </w:rPr>
        <w:t xml:space="preserve"> Fr. </w:t>
      </w:r>
      <w:r>
        <w:rPr>
          <w:i/>
          <w:iCs/>
        </w:rPr>
        <w:t xml:space="preserve">moyen</w:t>
      </w:r>
      <w:r>
        <w:rPr>
          <w:lang w:val="en-US"/>
        </w:rPr>
        <w:t xml:space="preserve"> / It. </w:t>
      </w:r>
      <w:r>
        <w:rPr>
          <w:i/>
          <w:iCs/>
          <w:lang w:val="en-US"/>
        </w:rPr>
        <w:t xml:space="preserve">mezzo</w:t>
      </w:r>
      <w:r>
        <w:rPr>
          <w:lang w:val="en-US"/>
        </w:rP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>
      <w:t xml:space="preserve">Comix&amp;Digital</w:t>
    </w:r>
    <w:r/>
  </w:p>
  <w:p>
    <w:r>
      <w:t xml:space="preserve">Doc 09</w:t>
    </w:r>
    <w:r>
      <w:t xml:space="preserve"> </w:t>
    </w:r>
    <w:r>
      <w:t xml:space="preserve">Séance 1_ Texte espagnol A_ Avec aides</w:t>
    </w:r>
    <w:r/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58"/>
    <w:next w:val="85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5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58"/>
    <w:next w:val="85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5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58"/>
    <w:next w:val="85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5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58"/>
    <w:next w:val="85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5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58"/>
    <w:next w:val="85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5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58"/>
    <w:next w:val="85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5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58"/>
    <w:next w:val="85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58"/>
    <w:next w:val="85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58"/>
    <w:next w:val="85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5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58"/>
    <w:next w:val="85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59"/>
    <w:link w:val="34"/>
    <w:uiPriority w:val="10"/>
    <w:rPr>
      <w:sz w:val="48"/>
      <w:szCs w:val="48"/>
    </w:rPr>
  </w:style>
  <w:style w:type="paragraph" w:styleId="36">
    <w:name w:val="Subtitle"/>
    <w:basedOn w:val="858"/>
    <w:next w:val="85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59"/>
    <w:link w:val="36"/>
    <w:uiPriority w:val="11"/>
    <w:rPr>
      <w:sz w:val="24"/>
      <w:szCs w:val="24"/>
    </w:rPr>
  </w:style>
  <w:style w:type="paragraph" w:styleId="38">
    <w:name w:val="Quote"/>
    <w:basedOn w:val="858"/>
    <w:next w:val="85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58"/>
    <w:next w:val="85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59"/>
    <w:link w:val="871"/>
    <w:uiPriority w:val="99"/>
  </w:style>
  <w:style w:type="character" w:styleId="45">
    <w:name w:val="Footer Char"/>
    <w:basedOn w:val="859"/>
    <w:link w:val="873"/>
    <w:uiPriority w:val="99"/>
  </w:style>
  <w:style w:type="paragraph" w:styleId="46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73"/>
    <w:uiPriority w:val="99"/>
  </w:style>
  <w:style w:type="table" w:styleId="49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862"/>
    <w:uiPriority w:val="99"/>
    <w:rPr>
      <w:sz w:val="18"/>
    </w:rPr>
  </w:style>
  <w:style w:type="paragraph" w:styleId="178">
    <w:name w:val="endnote text"/>
    <w:basedOn w:val="85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59"/>
    <w:uiPriority w:val="99"/>
    <w:semiHidden/>
    <w:unhideWhenUsed/>
    <w:rPr>
      <w:vertAlign w:val="superscript"/>
    </w:rPr>
  </w:style>
  <w:style w:type="paragraph" w:styleId="181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footnote text"/>
    <w:basedOn w:val="858"/>
    <w:link w:val="863"/>
    <w:uiPriority w:val="99"/>
    <w:semiHidden/>
    <w:unhideWhenUsed/>
    <w:rPr>
      <w:sz w:val="20"/>
      <w:szCs w:val="20"/>
    </w:rPr>
  </w:style>
  <w:style w:type="character" w:styleId="863" w:customStyle="1">
    <w:name w:val="Note de bas de page Car"/>
    <w:basedOn w:val="859"/>
    <w:link w:val="862"/>
    <w:uiPriority w:val="99"/>
    <w:semiHidden/>
    <w:rPr>
      <w:sz w:val="20"/>
      <w:szCs w:val="20"/>
    </w:rPr>
  </w:style>
  <w:style w:type="character" w:styleId="864">
    <w:name w:val="footnote reference"/>
    <w:basedOn w:val="859"/>
    <w:uiPriority w:val="99"/>
    <w:semiHidden/>
    <w:unhideWhenUsed/>
    <w:rPr>
      <w:vertAlign w:val="superscript"/>
    </w:rPr>
  </w:style>
  <w:style w:type="table" w:styleId="865">
    <w:name w:val="Table Grid"/>
    <w:basedOn w:val="860"/>
    <w:uiPriority w:val="3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6">
    <w:name w:val="annotation reference"/>
    <w:basedOn w:val="859"/>
    <w:uiPriority w:val="99"/>
    <w:semiHidden/>
    <w:unhideWhenUsed/>
    <w:rPr>
      <w:sz w:val="16"/>
      <w:szCs w:val="16"/>
    </w:rPr>
  </w:style>
  <w:style w:type="paragraph" w:styleId="867">
    <w:name w:val="annotation text"/>
    <w:basedOn w:val="858"/>
    <w:link w:val="868"/>
    <w:uiPriority w:val="99"/>
    <w:unhideWhenUsed/>
    <w:rPr>
      <w:sz w:val="20"/>
      <w:szCs w:val="20"/>
    </w:rPr>
  </w:style>
  <w:style w:type="character" w:styleId="868" w:customStyle="1">
    <w:name w:val="Commentaire Car"/>
    <w:basedOn w:val="859"/>
    <w:link w:val="867"/>
    <w:uiPriority w:val="99"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Objet du commentaire Car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Header"/>
    <w:basedOn w:val="858"/>
    <w:link w:val="872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872" w:customStyle="1">
    <w:name w:val="En-tête Car"/>
    <w:basedOn w:val="859"/>
    <w:link w:val="871"/>
    <w:uiPriority w:val="99"/>
  </w:style>
  <w:style w:type="paragraph" w:styleId="873">
    <w:name w:val="Footer"/>
    <w:basedOn w:val="858"/>
    <w:link w:val="874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874" w:customStyle="1">
    <w:name w:val="Pied de page Car"/>
    <w:basedOn w:val="859"/>
    <w:link w:val="87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ONLYOFFICE/7.3.2.8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Sandrine CADDEO</cp:lastModifiedBy>
  <cp:revision>24</cp:revision>
  <dcterms:created xsi:type="dcterms:W3CDTF">2023-03-07T12:11:00Z</dcterms:created>
  <dcterms:modified xsi:type="dcterms:W3CDTF">2023-06-29T02:25:42Z</dcterms:modified>
</cp:coreProperties>
</file>